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83" w:type="pct"/>
        <w:jc w:val="center"/>
        <w:tblLook w:val="01E0" w:firstRow="1" w:lastRow="1" w:firstColumn="1" w:lastColumn="1" w:noHBand="0" w:noVBand="0"/>
      </w:tblPr>
      <w:tblGrid>
        <w:gridCol w:w="3526"/>
        <w:gridCol w:w="5289"/>
      </w:tblGrid>
      <w:tr w:rsidR="00445E70" w:rsidRPr="00445E70" w:rsidTr="00445E70">
        <w:trPr>
          <w:jc w:val="center"/>
        </w:trPr>
        <w:tc>
          <w:tcPr>
            <w:tcW w:w="2000" w:type="pct"/>
          </w:tcPr>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BỘ TÀI CHÍNH</w:t>
            </w:r>
          </w:p>
          <w:p w:rsidR="00445E70" w:rsidRPr="00445E70" w:rsidRDefault="00445E70" w:rsidP="00445E70">
            <w:pPr>
              <w:spacing w:after="0" w:line="240" w:lineRule="auto"/>
              <w:jc w:val="center"/>
              <w:rPr>
                <w:rFonts w:eastAsia="Times New Roman" w:cs="Times New Roman"/>
                <w:szCs w:val="24"/>
                <w:lang w:eastAsia="vi-VN"/>
              </w:rPr>
            </w:pPr>
            <w:r w:rsidRPr="00445E70">
              <w:rPr>
                <w:rFonts w:eastAsia="Times New Roman" w:cs="Times New Roman"/>
                <w:szCs w:val="24"/>
                <w:lang w:eastAsia="vi-VN"/>
              </w:rPr>
              <w:t>-----------------</w:t>
            </w:r>
          </w:p>
          <w:p w:rsidR="00445E70" w:rsidRPr="00445E70" w:rsidRDefault="00445E70" w:rsidP="00445E70">
            <w:pPr>
              <w:spacing w:after="0" w:line="240" w:lineRule="auto"/>
              <w:jc w:val="center"/>
              <w:rPr>
                <w:rFonts w:eastAsia="Times New Roman" w:cs="Times New Roman"/>
                <w:szCs w:val="24"/>
                <w:lang w:eastAsia="vi-VN"/>
              </w:rPr>
            </w:pPr>
            <w:r w:rsidRPr="00445E70">
              <w:rPr>
                <w:rFonts w:eastAsia="Times New Roman" w:cs="Times New Roman"/>
                <w:szCs w:val="24"/>
                <w:lang w:eastAsia="vi-VN"/>
              </w:rPr>
              <w:t>Số: 97/2010/TT-BTC</w:t>
            </w:r>
          </w:p>
          <w:p w:rsidR="00445E70" w:rsidRPr="00445E70" w:rsidRDefault="00445E70" w:rsidP="00445E70">
            <w:pPr>
              <w:spacing w:after="0" w:line="240" w:lineRule="auto"/>
              <w:jc w:val="center"/>
              <w:rPr>
                <w:rFonts w:eastAsia="Times New Roman" w:cs="Times New Roman"/>
                <w:szCs w:val="24"/>
                <w:lang w:eastAsia="vi-VN"/>
              </w:rPr>
            </w:pPr>
          </w:p>
        </w:tc>
        <w:tc>
          <w:tcPr>
            <w:tcW w:w="3000" w:type="pct"/>
            <w:hideMark/>
          </w:tcPr>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 xml:space="preserve">CỘNG HOÀ XÃ HỘI CHỦ NGHĨA VIỆT </w:t>
            </w:r>
            <w:smartTag w:uri="urn:schemas-microsoft-com:office:smarttags" w:element="country-region">
              <w:smartTag w:uri="urn:schemas-microsoft-com:office:smarttags" w:element="place">
                <w:r w:rsidRPr="00445E70">
                  <w:rPr>
                    <w:rFonts w:eastAsia="Times New Roman" w:cs="Times New Roman"/>
                    <w:b/>
                    <w:szCs w:val="24"/>
                    <w:lang w:eastAsia="vi-VN"/>
                  </w:rPr>
                  <w:t>NAM</w:t>
                </w:r>
              </w:smartTag>
            </w:smartTag>
          </w:p>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Độc lập - Tự do - Hạnh phúc</w:t>
            </w:r>
          </w:p>
          <w:p w:rsidR="00445E70" w:rsidRPr="00445E70" w:rsidRDefault="00445E70" w:rsidP="00445E70">
            <w:pPr>
              <w:spacing w:after="0" w:line="240" w:lineRule="auto"/>
              <w:jc w:val="center"/>
              <w:rPr>
                <w:rFonts w:eastAsia="Times New Roman" w:cs="Times New Roman"/>
                <w:szCs w:val="24"/>
                <w:lang w:eastAsia="vi-VN"/>
              </w:rPr>
            </w:pPr>
            <w:r w:rsidRPr="00445E70">
              <w:rPr>
                <w:rFonts w:eastAsia="Times New Roman" w:cs="Times New Roman"/>
                <w:szCs w:val="24"/>
                <w:lang w:eastAsia="vi-VN"/>
              </w:rPr>
              <w:t>------------------------</w:t>
            </w:r>
          </w:p>
          <w:p w:rsidR="00445E70" w:rsidRPr="00445E70" w:rsidRDefault="00445E70" w:rsidP="00445E70">
            <w:pPr>
              <w:spacing w:after="0" w:line="240" w:lineRule="auto"/>
              <w:jc w:val="center"/>
              <w:rPr>
                <w:rFonts w:eastAsia="Times New Roman" w:cs="Times New Roman"/>
                <w:i/>
                <w:szCs w:val="24"/>
                <w:lang w:eastAsia="vi-VN"/>
              </w:rPr>
            </w:pPr>
            <w:r w:rsidRPr="00445E70">
              <w:rPr>
                <w:rFonts w:eastAsia="Times New Roman" w:cs="Times New Roman"/>
                <w:i/>
                <w:szCs w:val="24"/>
                <w:lang w:eastAsia="vi-VN"/>
              </w:rPr>
              <w:t>Hà Nội, ngày 06  tháng 7  năm 2010</w:t>
            </w:r>
          </w:p>
        </w:tc>
      </w:tr>
    </w:tbl>
    <w:p w:rsidR="00445E70" w:rsidRPr="00445E70" w:rsidRDefault="00445E70" w:rsidP="00445E70">
      <w:pPr>
        <w:spacing w:after="0" w:line="240" w:lineRule="auto"/>
        <w:rPr>
          <w:rFonts w:eastAsia="Times New Roman" w:cs="Times New Roman"/>
          <w:szCs w:val="24"/>
          <w:lang w:eastAsia="vi-VN"/>
        </w:rPr>
      </w:pPr>
    </w:p>
    <w:p w:rsidR="00445E70" w:rsidRPr="00445E70" w:rsidRDefault="00445E70" w:rsidP="00445E70">
      <w:pPr>
        <w:spacing w:after="0" w:line="240" w:lineRule="auto"/>
        <w:jc w:val="center"/>
        <w:rPr>
          <w:rFonts w:eastAsia="Times New Roman" w:cs="Times New Roman"/>
          <w:b/>
          <w:szCs w:val="24"/>
          <w:lang w:eastAsia="vi-VN"/>
        </w:rPr>
      </w:pPr>
    </w:p>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THÔNG TƯ</w:t>
      </w:r>
    </w:p>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Quy định chế độ công tác phí, chế độ chi tổ chức các cuộc hội nghị</w:t>
      </w:r>
    </w:p>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đối với các cơ quan nhà nước và đơn vị sự nghiệp công lập</w:t>
      </w:r>
    </w:p>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w:t>
      </w:r>
    </w:p>
    <w:p w:rsidR="00445E70" w:rsidRPr="00445E70" w:rsidRDefault="00445E70" w:rsidP="00445E70">
      <w:pPr>
        <w:spacing w:after="0" w:line="240" w:lineRule="auto"/>
        <w:jc w:val="center"/>
        <w:rPr>
          <w:rFonts w:eastAsia="Times New Roman" w:cs="Times New Roman"/>
          <w:b/>
          <w:szCs w:val="24"/>
          <w:lang w:eastAsia="vi-VN"/>
        </w:rPr>
      </w:pP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Căn cứ Nghị định số 60/2003/NĐ-CP ngày 6 tháng 6 năm 2003 của Chính phủ quy định chi tiết và hướng dẫn thi hành Luật Ngân sách Nhà nước;</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Căn cứ Nghị định số 118/2008/NĐ-CP ngày 27 tháng 11 năm 2008 của Chính phủ quy định chức năng, nhiệm vụ, quyền hạn và cơ cấu tổ chức của Bộ Tài chính;</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Thực hiện Kết luận số 40-KL/TW ngày 6 tháng 3 năm 2009 của Bộ Chính trị về việc sửa đổi những bất hợp lý về tiền lương, phụ cấp đối với cán bộ, công chức, viên chức trong cơ quan Đảng, Nhà nước, Mặt trận, các đoàn thể và lực lượng vũ trang;</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Để thực hiện tiết kiệm, chống lãng phí và phù hợp với yêu cầu thực tế, Bộ Tài chính quy định chế độ công tác phí, chế độ chi tổ chức các cuộc hội nghị trong cơ quan nhà nước, đơn vị sự nghiệp công lập, tổ chức chính trị - xã hội, tổ chức chính trị xã hội - nghề nghiệp, tổ chức xã hội, tổ chức xã hội - nghề nghiệp, đơn vị lực lượng vũ trang, có sử dụng kinh phí do ngân sách nhà nước cấp (dưới đây gọi tắt là cơ quan, đơn vị) như sau:</w:t>
      </w:r>
    </w:p>
    <w:p w:rsidR="00445E70" w:rsidRPr="00445E70" w:rsidRDefault="00445E70" w:rsidP="00445E70">
      <w:pPr>
        <w:spacing w:after="0" w:line="240" w:lineRule="auto"/>
        <w:jc w:val="center"/>
        <w:rPr>
          <w:rFonts w:eastAsia="Times New Roman" w:cs="Times New Roman"/>
          <w:b/>
          <w:szCs w:val="24"/>
          <w:lang w:eastAsia="vi-VN"/>
        </w:rPr>
      </w:pPr>
    </w:p>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PHẦN I</w:t>
      </w:r>
    </w:p>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CHẾ ĐỘ CÔNG TÁC PHÍ</w:t>
      </w:r>
    </w:p>
    <w:p w:rsidR="00445E70" w:rsidRPr="00445E70" w:rsidRDefault="00445E70" w:rsidP="00445E70">
      <w:pPr>
        <w:spacing w:after="0" w:line="240" w:lineRule="auto"/>
        <w:jc w:val="center"/>
        <w:rPr>
          <w:rFonts w:eastAsia="Times New Roman" w:cs="Times New Roman"/>
          <w:b/>
          <w:szCs w:val="24"/>
          <w:lang w:eastAsia="vi-VN"/>
        </w:rPr>
      </w:pP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b/>
          <w:szCs w:val="24"/>
          <w:lang w:eastAsia="vi-VN"/>
        </w:rPr>
        <w:t>Điều 1.</w:t>
      </w:r>
      <w:r w:rsidRPr="00445E70">
        <w:rPr>
          <w:rFonts w:eastAsia="Times New Roman" w:cs="Times New Roman"/>
          <w:szCs w:val="24"/>
          <w:lang w:eastAsia="vi-VN"/>
        </w:rPr>
        <w:t xml:space="preserve"> Quy định chung về chế độ công tác phí</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1. Phạm vi, đối tượng được hưởng chế độ công tác phí: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Cán bộ, công chức, viên chức, lao động hợp đồng theo quy định của pháp luật làm việc trong các cơ quan, đơn vị; sĩ quan, chiến sĩ phục vụ có thời hạn, công nhân, viên chức, lao động hợp đồng trong các đơn vị thuộc lực lượng vũ trang nhân dân (gọi tắt là cán bộ, công chức) được cấp có thẩm quyền cử đi công tác trong nước; Đại biểu Hội đồng nhân dân các cấp khi tham gia hoạt động của Hội đồng nhân dân.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Đối với cán bộ, công chức được các cơ quan tiến hành tố tụng mời ra làm nhân chứng trong các vụ án có liên quan đến công việc chuyên môn cũng được áp dụng các quy định tại Thông tư này.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2. Công tác phí là khoản chi phí để trả cho người đi công tác trong nước bao gồm: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Tiền phương tiện đi lại, phụ cấp lưu trú, tiền thuê chỗ ở nơi đến công tác, cước hành lý, tài liệu mang theo để làm việc (nếu có).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3. Các điều kiện để được thanh toán công tác phí:</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Thực hiện đúng nhiệm vụ được giao;</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 Được Thủ trưởng cơ quan, đơn vị cử đi công tác; hoặc có giấy mời của các cơ quan tiến hành tố tụng ra làm nhân chứng trong các vụ án có liên quan đến công việc chuyên môn;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lastRenderedPageBreak/>
        <w:t>- Có đủ các chứng từ để thanh toán theo quy định tại Thông tư này (trừ các trường hợp được phép thanh toán theo phương thức khoán).</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4. Những trường hợp sau đây không được thanh toán công tác phí:</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 Thời gian điều trị, điều dưỡng tại cơ sở y tế, nhà điều dưỡng, dưỡng sức;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Những ngày học ở trường, lớp đào tạo tập trung dài hạn, ngắn hạn đã được hưởng chế độ đối với cán bộ đi học;</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Những ngày làm việc riêng trong thời gian đi công tác;</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 Những ngày được giao nhiệm vụ thường trú hoặc biệt phái tại một địa phương hoặc cơ quan khác theo quyết định của cấp có thẩm quyền.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5. Thủ trưởng cơ quan, đơn vị phải xem xét, cân nhắc khi cử người đi công tác (về số lượng người và thời gian đi công tác) bảo đảm hiệu quả công tác, sử dụng kinh phí tiết kiệm và trong phạm vi dự toán ngân sách hàng năm của cơ quan, đơn vị đã được cấp có thẩm quyền giao.</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6. Cơ quan, đơn vị cử người đi công tác có trách nhiệm thanh toán các khoản công tác phí cho người đi công tác trừ trường hợp được quy định cụ thể tại khoản 6 Điều 2 Thông tư này.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7. Trong những ngày được cử đi công tác nếu do yêu cầu công việc phải làm thêm giờ thì ngoài chế độ phụ cấp lưu trú còn được thanh toán chế độ trả lương làm thêm giờ đối với cán bộ, công chức theo quy định hiện hành. Thủ trưởng cơ quan, đơn vị chịu trách nhiệm quy định cụ thể trong quy chế chi tiêu nội bộ: Thủ tục xác nhận làm thêm giờ làm căn cứ thanh toán; quy định các trường hợp đi công tác được thanh toán chế độ trả lương làm thêm giờ, đảm bảo nguyên tắc chỉ được thanh toán trong trường hợp được cấp có thẩm quyền yêu cầu phải làm thêm giờ, không thanh toán cho các trường hợp đi công tác kết hợp giải quyết việc riêng trong những ngày nghỉ.</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b/>
          <w:szCs w:val="24"/>
          <w:lang w:eastAsia="vi-VN"/>
        </w:rPr>
        <w:t xml:space="preserve">Điều 2. </w:t>
      </w:r>
      <w:r w:rsidRPr="00445E70">
        <w:rPr>
          <w:rFonts w:eastAsia="Times New Roman" w:cs="Times New Roman"/>
          <w:szCs w:val="24"/>
          <w:lang w:eastAsia="vi-VN"/>
        </w:rPr>
        <w:t xml:space="preserve">Nội dung chi và mức chi công tác phí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1. Thanh toán tiền phương tiện đi công tác:</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a) Người đi công tác được thanh toán tiền phương tiện đi lại bao gồm: tiền thuê phương tiện chiều đi và về từ nhà đến sân bay, ga tàu, bến xe; vé máy bay, vé tàu, xe vận tải công cộng từ cơ quan để di chuyển đến nơi công tác và theo chiều ngược lại; tiền phương tiện đi lại tại địa phương nơi đến công tác: từ chỗ nghỉ đến chỗ làm việc, từ sân bay, ga tàu, bến xe về nơi nghỉ (lượt đi và lượt về); cước qua phà, qua đò cho bản thân và phương tiện của người đi công tác; phí sử dụng đường bộ và cước chuyên chở tài liệu phục vụ cho chuyến đi công tác (nếu có) mà người đi công tác đã trực tiếp chi trả. Trường hợp cơ quan, đơn vị nơi cử cán bộ đi công tác và cơ quan, đơn vị nơi cán bộ đến công tác đã bố trí phương tiện vận chuyển thì người đi công tác không được thanh toán các khoản chi phí này.</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Chứng từ và mức thanh toán: Theo giá ghi trên vé, hoá đơn mua vé, hoặc giấy biên nhận của chủ phương tiện; giá vé không bao gồm các chi phí dịch vụ khác như: Tham quan du lịch, các dịch vụ đặc biệt theo yêu cầu. </w:t>
      </w:r>
      <w:r w:rsidRPr="00445E70">
        <w:rPr>
          <w:rFonts w:eastAsia="Times New Roman" w:cs="Times New Roman"/>
          <w:szCs w:val="24"/>
          <w:highlight w:val="yellow"/>
          <w:lang w:eastAsia="vi-VN"/>
        </w:rPr>
        <w:t>Riêng chứng từ thanh toán vé máy bay ngoài cuống vé (hoặc vé điện tử) phải kèm theo thẻ lên máy bay</w:t>
      </w:r>
      <w:r w:rsidRPr="00445E70">
        <w:rPr>
          <w:rFonts w:eastAsia="Times New Roman" w:cs="Times New Roman"/>
          <w:szCs w:val="24"/>
          <w:lang w:eastAsia="vi-VN"/>
        </w:rPr>
        <w:t xml:space="preserve">.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b) Căn cứ quy chế chi tiêu nội bộ của đơn vị, căn cứ tính chất công việc của chuyến đi công tác và trong phạm vi nguồn kinh phí được giao, thủ trưởng cơ quan, đơn vị xem xét duyệt cho cán bộ, công chức được thanh toán tiền phương tiện đi công tác bằng phương tiện máy bay, tàu hoả, xe ô tô hoặc phương tiện thô sơ bảo đảm nguyên tắc tiết kiệm, hiệu quả.</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c) Quy định về tiêu chuẩn mua vé máy bay đi công tác trong nước như sau:</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lastRenderedPageBreak/>
        <w:t>- Đối với các đối tượng Lãnh đạo cấp cao (trên cấp Bộ trưởng) thực hiện theo quy định hiện hành của Nhà nước;</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 - Hạng ghế thương gia (Business class hoặc C class) dành cho đối tượng: Cán bộ lãnh đạo hưởng bảng lương chức vụ lãnh đạo, hưởng phụ cấp chức vụ lãnh đạo ban hành kèm theo Nghị quyết số 730/NQ-UBTVQH ngày 30 tháng 9 năm 2004 của Uỷ ban Thường vụ Quốc hội, Quyết định số 128-QĐ-TW ngày 14 tháng 12 năm 2004 của Ban Bí thư Trung ương Đảng hoặc Nghị định số 204/2004/NĐ-CP ngày 14 tháng 12 năm 2004 của Chính phủ gồm: Bộ trưởng và các chức danh tương đương; Thứ trưởng và cán bộ lãnh đạo có hệ số phụ cấp chức vụ từ 1,3 trở lên; Phó trưởng các đoàn thể chính trị - xã hội ở Trung ương; Bí thư thường trực Trung ương Đoàn Thanh niên Cộng sản Hồ Chí Minh;</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Hạng ghế thường: Dành cho các chức danh cán bộ, công chức còn lại.</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d) Đối với những vùng không có phương tiện vận tải của tổ chức, cá nhân kinh doanh vận tải hành khách theo quy định của pháp luật mà người đi công tác phải thuê phương tiện vận tải khác thì thủ trưởng cơ quan, đơn vị xem xét quyết định cho thanh toán tiền thuê phương tiện mà người đi công tác đã thuê trên cơ sở hợp đồng thuê phương tiện hoặc giấy biên nhận với chủ phương tiện (có tính đến giá vận tải phương tiện khác đang thực hiện cùng thời điểm tại vùng đó cho phù hợp).</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2. Thanh toán khoán tiền tự túc phương tiện đi công tác: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a) Đối với các đối tượng cán bộ lãnh đạo có tiêu chuẩn được bố trí xe ô tô đưa đi công tác theo quy định của Thủ tướng Chính phủ, nhưng cơ quan không bố trí được xe ô tô cho người đi công tác mà người đi công tác phải tự túc phương tiện khi đi công tác cách trụ sở cơ quan từ 10 km trở lên (đối với khu vực vùng cao, hải đảo; miền núi khó khăn, vùng sâu) và từ 15 km trở lên (đối với vùng còn lại) thì được cơ quan, đơn vị thanh toán tiền khoán tự túc phương tiện khi đi công tác. Mức thanh toán khoán tự túc phương tiện được tính theo số ki lô mét (km) thực tế và đơn giá thuê xe. Đơn giá thuê xe do thủ trưởng cơ quan, đơn vị quy định căn cứ đơn giá thuê xe phổ biến đối với phương tiện loại trung bình tại địa phương và phải được quy định trong quy chế chi tiêu nội bộ của cơ quan, đơn vị.</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b) Đối với các đối tượng cán bộ, công chức không có tiêu chuẩn được bố trí xe ô tô khi đi công tác, nhưng nếu cán bộ đi công tác cách trụ sở cơ quan từ 10 km trở lên (đối với khu vực vùng cao, hải đảo; miền núi khó khăn, vùng sâu) và từ 15 km trở lên (đối với vùng còn lại) mà tự túc bằng phương tiện cá nhân của mình thì được thanh toán khoán tiền tự túc phương tiện theo số km thực đi nhân với đơn giá khoán (bao gồm tiền nhiên liệu và khấu hao xe).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c) Căn cứ để thanh toán khoán tiền tự túc phương tiện đi công tác gồm: Giấy đi đường của người đi công tác có xác nhận của cơ quan nơi đến công tác (hoặc của khách sạn, nhà khách); bảng kê độ dài quãng đường đi công tác trình Thủ trưởng cơ quan, đơn vị duyệt thanh toán và được quy định trong quy chế chi tiêu nội bộ của cơ quan, đơn vị.</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3. Phụ cấp lưu trú: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a) Phụ cấp lưu trú là khoản tiền do cơ quan, đơn vị chi cho người đi công tác để hỗ trợ thêm cùng với tiền lương nhằm đảm bảo tiền ăn và tiêu vặt cho người đi công tác, được tính từ ngày bắt đầu đi công tác đến khi kết thúc đợt công tác trở về cơ quan, đơn vị (bao gồm thời gian đi trên đường, thời gian lưu trú tại nơi đến công tác).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 xml:space="preserve">Mức phụ cấp lưu trú để trả cho người đi công tác tối đa không quá 150.000 đồng/ngày. Trường hợp đi công tác trong ngày (đi và về trong ngày) thủ trưởng cơ quan, đơn vị quyết định mức phụ cấp lưu trú theo các tiêu chí: căn cứ theo số giờ thực tế đi công tác trong ngày, theo thời gian phải làm ngoài giờ hành chính (bao gồm cả thời gian đi trên đường), quãng đường đi công tác... và phải được quy định trong quy chế chi tiêu nội bộ của cơ quan, đơn vị.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lastRenderedPageBreak/>
        <w:t xml:space="preserve">b) Cán bộ, công chức ở đất liền được cử đi công tác làm nhiệm vụ trên biển, đảo thì được hưởng mức phụ cấp lưu trú tối đa là 200.000 đồng/người/ngày  thực tế đi biển, đảo (áp dụng cho cả những ngày làm việc trên đảo, những ngày đi, về trên biển); trong trường hợp một số ngành đặc thù đã được cấp có thẩm quyền quy định về chế độ chi bồi dưỡng khi đi công tác trên biển, đảo thì được chọn chế độ quy định cao nhất để thanh toán chi trả cho cán bộ, công chức. </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c) Chứng từ làm căn cứ thanh toán phụ cấp lưu trú gồm: Văn bản hoặc kế hoạch công tác đã được Thủ trưởng cơ quan đơn vị duyệt và cử đi công tác; giấy đi đường có đóng dấu của cơ quan, đơn vị cử cán bộ đi công tác và ký xác nhận đóng dấu ngày đến, ngày đi của cơ quan nơi cán bộ đến công tác (hoặc của khách sạn, nhà khách nơi lưu trú).</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4. Thanh toán tiền thuê phòng nghỉ tại nơi đến công tác:</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Đối với các đối tượng Lãnh đạo cấp cao thực hiện theo quy định hiện hành của Nhà nước;</w:t>
      </w:r>
    </w:p>
    <w:p w:rsidR="00445E70" w:rsidRPr="00445E70" w:rsidRDefault="00445E70" w:rsidP="00445E70">
      <w:pPr>
        <w:spacing w:after="120" w:line="240" w:lineRule="auto"/>
        <w:ind w:firstLine="720"/>
        <w:jc w:val="both"/>
        <w:rPr>
          <w:rFonts w:eastAsia="Times New Roman" w:cs="Times New Roman"/>
          <w:szCs w:val="24"/>
          <w:lang w:eastAsia="vi-VN"/>
        </w:rPr>
      </w:pPr>
      <w:r w:rsidRPr="00445E70">
        <w:rPr>
          <w:rFonts w:eastAsia="Times New Roman" w:cs="Times New Roman"/>
          <w:szCs w:val="24"/>
          <w:lang w:eastAsia="vi-VN"/>
        </w:rPr>
        <w:t>Các đối tượng cán bộ, công chức còn lại được cơ quan, đơn vị cử đi công tác được thanh toán tiền thuê chỗ nghỉ theo một trong hai hình thức như sau:</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a) Thanh toán theo hình thức khoán:</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Đi công tác ở quận thuộc thành phố Hà Nội, thành phố Hồ Chí Minh, thành phố Hải Phòng, thành phố Cần Thơ, thành phố Đà Nẵng và thành phố là đô thị loại I thuộc tỉnh. Mức khoán tối đa không quá 350.000 đồng/ngày/người;</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Đi công tác tại huyện thuộc các thành phố trực thuộc trung ương, tại thị xã, thành phố còn lại thuộc tỉnh: Mức khoán tối đa không quá 250.000 đồng/ngày/người;</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Đi công tác tại các vùng còn lại: Mức khoán tối đa không quá 200.000 đồng/ngày/người;</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Lãnh đạo cấp Bộ trưởng, Thứ trưởng và các chức danh tương đương nếu nhận khoán thì mức khoán tối đa không quá 900.000 đồng/ngày/người, không phân biệt nơi đến công tác.</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Trường hợp cán bộ đi công tác do phải hoàn thành công việc đến cuối ngày, hoặc do chỉ đăng ký được phương tiện đi lại (vé máy bay, tàu hoả, ô tô) từ 18h đến 24h cùng ngày, thì được thanh toán tiền nghỉ của nửa ngày nghỉ thêm tối đa bằng 50% mức khoán phòng tương ứng.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b) Thanh toán theo hoá đơn thực tế:</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Trong trường hợp người đi công tác không nhận thanh toán theo hình thức khoán tại điểm a nêu trên thì được thanh toán theo giá thuê phòng thực tế (có hoá đơn hợp pháp) do Thủ trưởng cơ quan, đơn vị duyệt theo tiêu chuẩn thuê phòng như sau:</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Đối với các đối tượng Lãnh đạo cấp Bộ trưởng và các chức danh tương đương: Được thanh toán mức giá thuê phòng ngủ tối đa là 2.500.000 đồng/ngày/phòng theo tiêu chuẩn một người/1 phòng;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Đi công tác tại các quận thuộc thành phố Hà Nội, thành phố Hồ Chí Minh, thành phố Hải Phòng, thành phố Cần Thơ, thành phố Đà Nẵng; thành phố là đô thị loại I thuộc tỉnh:</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Đối với các đối tượng Lãnh đạo có hệ số phụ cấp chức vụ từ 1,25 đến 1,3 của các cơ quan hành chính, đơn vị sự nghiệp và các chức danh tương đương thuộc cơ quan Đảng, Mặt trận và các đoàn thể: Được thanh toán mức giá thuê phòng ngủ tối đa là 1.200.000 đồng/ngày/phòng theo tiêu chuẩn một người/1 phòng;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lastRenderedPageBreak/>
        <w:t>+ Đối với các đối tượng, cán bộ công chức còn lại: Được thanh toán mức giá thuê phòng ngủ tối đa là 900.000 đồng/ngày/phòng theo tiêu chuẩn 2 người/phòng;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 Đi công tác tại các vùng còn lại: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Đối với các đối tượng Lãnh đạo có hệ số phụ cấp chức vụ từ 1,25 đến 1,3 của các cơ quan hành chính, đơn vị sự nghiệp và các chức danh tương đương thuộc cơ quan Đảng, Mặt trận và các đoàn thể: Được thanh toán mức giá thuê phòng ngủ tối đa là 1.000.000 đồng/ngày/phòng theo tiêu chuẩn một người/1 phòng;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Đối với các đối tượng, cán bộ công chức còn lại: Được thanh toán mức giá thuê phòng ngủ tối đa là 600.000 đồng/ngày/phòng theo tiêu chuẩn 2 người/phòng;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Trường hợp đi công tác một mình hoặc đoàn công tác có lẻ người hoặc lẻ người khác giới (đối với các đối tượng, cán bộ công chức còn lại), thì được thuê phòng riêng theo mức giá thuê phòng thực tế nhưng tối đa không được vượt mức tiền thuê phòng của những người đi cùng đoàn (theo tiêu chuẩn 2 người/phòng);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Trường hợp cán bộ công chức được cử đi công tác cùng đoàn với các chức danh lãnh đạo có tiêu chuẩn thuê phòng khách sạn cao hơn tiêu chuẩn của cán bộ công chức, thì được thanh toán theo mức giá thuê phòng thực tế của loại phòng tiêu chuẩn (phòng Standard) tại khách sạn nơi các chức danh lãnh đạo nghỉ và theo tiêu chuẩn 2 người/phòng.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c) Chứng từ làm căn cứ thanh toán tiền thuê chỗ nghỉ gồm: Văn bản hoặc kế hoạch công tác đã được Thủ trưởng cơ quan, đơn vị duyệt số lượng ngày cử đi công tác; giấy đi đường có đóng dấu của cơ quan, đơn vị cử cán bộ đi công tác và ký xác nhận đóng dấu ngày đến, ngày đi của cơ quan nơi cán bộ đến công tác (hoặc của khách sạn, nhà khách nơi lưu trú) và hoá đơn hợp pháp (trong trường hợp thanh toán theo giá thuê phòng thực tế).</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d) Trường hợp cán bộ, công chức đi công tác đến nơi cơ quan, đơn vị đã bố trí được chỗ nghỉ không phải trả tiền thuê chỗ nghỉ, thì người đi công tác không được thanh toán khoản tiền khoán thuê chỗ nghỉ. Nếu phát hiện những trường hợp cán bộ đã được cơ quan, đơn vị nơi đến công tác bố trí chỗ nghỉ không phải trả tiền nhưng vẫn đề nghị cơ quan, đơn vị cử đi công tác thanh toán khoản tiền khoán thuê chỗ nghỉ, thì người đi công tác phải nộp lại số tiền đã thanh toán cho cơ quan, đơn vị đồng thời phải bị xử lý kỷ luật theo quy định của pháp luật về cán bộ công chức.</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5. Thanh toán khoán tiền công tác phí theo tháng: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Đối với cán bộ cấp xã thường xuyên phải đi công tác lưu động trên 10 ngày/tháng; cán bộ thuộc các cơ quan, đơn vị còn lại phải thường xuyên đi công tác lưu động trên 10 ngày/tháng (như: Văn thư; kế toán giao dịch; cán bộ kiểm lâm đi kiểm tra rừng; cán bộ các cơ quan tố tụng đi điều tra, kiểm sát, xác minh, tống đạt...); thì tuỳ theo đối tượng, đặc điểm công tác và khả năng kinh phí, thủ trưởng cơ quan, đơn vị quy định mức khoán tiền công tác phí theo tháng cho cán bộ đi công tác lưu động để hỗ trợ cán bộ tiền gửi xe, xăng xe, nhưng tối đa không quá 300.000 đồng/người/tháng và phải được quy định trong quy chế chi tiêu nội bộ của đơn vị.</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Các đối tượng cán bộ nêu trên nếu được cấp có thẩm quyền cử đi thực hiện nhiệm vụ theo các đợt công tác cụ thể, thì được thanh toán tiền phương tiện đi lại, phụ cấp lưu trú theo quy định tại khoản 1, khoản 2, khoản 3 Điều này; đồng thời vẫn được hưởng khoản tiền công tác phí khoán theo tháng nếu đủ điều kiện đi công tác lưu động trên 10 ngày/tháng.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6. Trường hợp đi công tác theo đoàn công tác phối hợp liên ngành, liên cơ quan:</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a) Trường hợp cơ quan, đơn vị có nhu cầu trưng tập cán bộ, công chức, viên chức thuộc cơ quan, đơn vị khác đi phối hợp công tác liên ngành nhằm thực hiện nhiệm vụ chính trị của cơ quan, đơn vị đó; trưng tập tham gia các đề tài nghiên cứu cơ bản thì cơ quan, đơn vị chủ trì </w:t>
      </w:r>
      <w:r w:rsidRPr="00445E70">
        <w:rPr>
          <w:rFonts w:eastAsia="Times New Roman" w:cs="Times New Roman"/>
          <w:szCs w:val="24"/>
          <w:lang w:val="en-US" w:eastAsia="vi-VN"/>
        </w:rPr>
        <w:lastRenderedPageBreak/>
        <w:t xml:space="preserve">đoàn công tác liên ngành có trách nhiệm thanh toán toàn bộ chi phí cho đoàn công tác gồm: Tiền tàu xe đi lại, cước hành lý, cước mang tài liệu, phụ cấp lưu trú, tiền thuê chỗ nghỉ tại nơi đến công tác theo mức chi quy định tại quy chế chi tiêu nội bộ của cơ quan, đơn vị chủ trì.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b) Trường hợp đi công tác theo đoàn phối hợp liên ngành, liên cơ quan do Thủ trưởng cơ quan quản lý nhà nước cấp trên triệu tập trưng dụng; hoặc phối hợp để cùng thực hiện các phần việc thuộc nhiệm vụ chính trị của mỗi cơ quan, đơn vị,  thì cơ quan, đơn vị chủ trì đoàn công tác chịu trách nhiệm chi tiền tàu xe đi lại và cước hành lý, tài liệu mang theo để làm việc (nếu có) cho người đi công tác trong đoàn. Trường hợp các cá nhân thuộc thành phần đoàn công tác không đi tập trung theo đoàn đến nơi công tác thì cơ quan, đơn vị cử người đi công tác thanh toán tiền tàu xe đi lại và cước hành lý, tài liệu mang theo để làm việc (nếu có) cho người đi công tác.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Ngoài ra, cơ quan, đơn vị cử người đi công tác có trách nhiệm thanh toán tiền phụ cấp lưu trú, tiền thuê chỗ ở cho người thuộc cơ quan mình cử đi công tác.</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c) Chứng từ làm căn cứ thanh toán: Ngoài chứng từ thanh toán quy định tại khoản 1, khoản 2, khoản 3 Điều 2 nêu trên, phải có công văn trưng tập (thư mời, công văn mời) cán bộ, công chức, viên chức thuộc các cơ quan, đơn vị khác đi công tác trong đó ghi rõ trách nhiệm thanh toán các khoản chi phí cho chuyến đi công tác của mỗi cơ quan, đơn vị.</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7. Đối với đại biểu Hội đồng nhân dân các cấp khi đi công tác thực hiện nhiệm vụ của đại biểu Hội đồng nhân dân (tham dự kỳ họp Hội đồng nhân dân, họp Ban của Hội đồng nhân dân, giám sát, tiếp xúc cử tri...) thì được thanh toán tiền công tác phí từ nguồn kinh phí hoạt động của Hội đồng nhân dân.</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8. Trường hợp cán bộ, công chức được các cơ quan tiến hành tố tụng mời ra làm nhân chứng trong các vụ án có liên quan đến công việc chuyên môn, thì do cơ quan tiến hành tố tụng thanh toán công tác phí cho nhân chứng từ nguồn kinh phí của cơ quan tiến hành tố tụng.</w:t>
      </w:r>
    </w:p>
    <w:p w:rsidR="00445E70" w:rsidRPr="00445E70" w:rsidRDefault="00445E70" w:rsidP="00445E70">
      <w:pPr>
        <w:spacing w:after="0" w:line="240" w:lineRule="auto"/>
        <w:rPr>
          <w:rFonts w:eastAsia="Times New Roman" w:cs="Times New Roman"/>
          <w:szCs w:val="24"/>
          <w:lang w:val="en-US" w:eastAsia="vi-VN"/>
        </w:rPr>
      </w:pPr>
    </w:p>
    <w:p w:rsidR="00445E70" w:rsidRPr="00445E70" w:rsidRDefault="00445E70" w:rsidP="00445E70">
      <w:pPr>
        <w:spacing w:after="0" w:line="240" w:lineRule="auto"/>
        <w:jc w:val="center"/>
        <w:rPr>
          <w:rFonts w:eastAsia="Times New Roman" w:cs="Times New Roman"/>
          <w:b/>
          <w:szCs w:val="24"/>
          <w:lang w:val="en-US" w:eastAsia="vi-VN"/>
        </w:rPr>
      </w:pPr>
      <w:r w:rsidRPr="00445E70">
        <w:rPr>
          <w:rFonts w:eastAsia="Times New Roman" w:cs="Times New Roman"/>
          <w:b/>
          <w:szCs w:val="24"/>
          <w:lang w:val="en-US" w:eastAsia="vi-VN"/>
        </w:rPr>
        <w:t>PHẦN II</w:t>
      </w:r>
    </w:p>
    <w:p w:rsidR="00445E70" w:rsidRPr="00445E70" w:rsidRDefault="00445E70" w:rsidP="00445E70">
      <w:pPr>
        <w:spacing w:after="0" w:line="240" w:lineRule="auto"/>
        <w:jc w:val="center"/>
        <w:rPr>
          <w:rFonts w:eastAsia="Times New Roman" w:cs="Times New Roman"/>
          <w:b/>
          <w:szCs w:val="24"/>
          <w:lang w:val="en-US" w:eastAsia="vi-VN"/>
        </w:rPr>
      </w:pPr>
      <w:r w:rsidRPr="00445E70">
        <w:rPr>
          <w:rFonts w:eastAsia="Times New Roman" w:cs="Times New Roman"/>
          <w:b/>
          <w:szCs w:val="24"/>
          <w:lang w:val="en-US" w:eastAsia="vi-VN"/>
        </w:rPr>
        <w:t>CHẾ ĐỘ CHI TIÊU HỘI NGHỊ</w:t>
      </w:r>
    </w:p>
    <w:p w:rsidR="00445E70" w:rsidRPr="00445E70" w:rsidRDefault="00445E70" w:rsidP="00445E70">
      <w:pPr>
        <w:spacing w:after="0" w:line="240" w:lineRule="auto"/>
        <w:jc w:val="center"/>
        <w:rPr>
          <w:rFonts w:eastAsia="Times New Roman" w:cs="Times New Roman"/>
          <w:b/>
          <w:szCs w:val="24"/>
          <w:lang w:val="en-US" w:eastAsia="vi-VN"/>
        </w:rPr>
      </w:pP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b/>
          <w:szCs w:val="24"/>
          <w:lang w:val="en-US" w:eastAsia="vi-VN"/>
        </w:rPr>
        <w:t>Điều 3.</w:t>
      </w:r>
      <w:r w:rsidRPr="00445E70">
        <w:rPr>
          <w:rFonts w:eastAsia="Times New Roman" w:cs="Times New Roman"/>
          <w:szCs w:val="24"/>
          <w:lang w:val="en-US" w:eastAsia="vi-VN"/>
        </w:rPr>
        <w:t xml:space="preserve"> Quy định chung về chế độ chi tiêu hội nghị</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1. Đối tượng và phạm vi áp dụng: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Đối tượng áp dụng chế độ chi tiêu hội nghị theo quy định tại Thông tư này là các hội nghị sơ kết và tổng kết chuyên đề, hội nghị tổng kết năm, hội nghị tập huấn triển khai nhiệm vụ công tác do các cơ quan hành chính nhà nước tổ chức được quy định tại Quyết định số 114/2006/QĐ-TTg ngày 25 tháng 5 năm 2006 của Thủ tướng Chính phủ ban hành quy định chế độ họp trong hoạt động của các cơ quan hành chính nhà nước.</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Kỳ họp của Hội đồng nhân dân, phiên họp của Thường trực Hội đồng nhân dân và cuộc họp các Ban của Hội đồng nhân dân; các tổ chức chính trị-xã hội, các tổ chức chính trị xã hội-nghề nghiệp, tổ chức xã hội, tổ chức xã hội-nghề nghiệp, đơn vị sự nghiệp công lập, có sử dụng kinh phí do ngân sách nhà nước cấp áp dụng chế độ chi tiêu hội nghị theo quy định tại Thông tư này.</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Riêng Đại hội đại biểu toàn quốc Đảng Cộng sản Việt Nam, Đại hội Đảng các cấp tiến tới Đại hội đại biểu toàn quốc, hội nghị của các cơ quan thuộc Đảng Cộng sản Việt Nam, kỳ họp Quốc hội, họp Hội đồng dân tộc, các uỷ ban của Quốc hội, phiên họp Uỷ ban thường vụ Quốc hội thực hiện theo quy định riêng của cấp có thẩm quyền.</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lastRenderedPageBreak/>
        <w:t>2. Các Bộ, cơ quan ngang Bộ, cơ quan thuộc Chính phủ tổ chức hội nghị để quán triệt, tổ chức triển khai trên phạm vi toàn quốc những chủ trương, chính sách lớn, quan trọng và cấp bách của Đảng và nhà nước thuộc lĩnh vực quản lý được phân công; tổ chức hội nghị sơ kết, tổng kết chuyên đề; tổ chức hội nghị sơ kết tổng kết đánh giá chương trình công tác hàng năm, phải được Thủ tướng Chính phủ đồng ý bằng văn bản theo quy định tại Quyết định số 114/2006/QĐ-TTg ngày 25 tháng 5 năm 2006 của Thủ tướng Chính phủ ban hành quy định chế độ họp trong hoạt động của các cơ quan hành chính nhà nước. Các ban của Đảng ở Trung ương khi tổ chức hội nghị toàn quốc, phải được sự đồng ý bằng văn bản của Thường trực Ban Bí thư.</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Thủ trưởng các cơ quan chuyên môn thuộc Uỷ ban nhân dân cấp tỉnh triệu tập cuộc họp toàn ngành ở địa phương để tổng kết thực hiện nhiệm vụ công tác năm, tổ chức cuộc họp tập huấn triển khai có mời Chủ tịch, Phó Chủ tịch UBND cấp huyện, thủ trưởng các cơ quan chuyên môn khác cùng cấp tham dự thì phải được sự đồng ý của Chủ tịch Uỷ ban nhân dân cấp tỉnh theo quy định.</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Thủ trưởng các cơ quan chuyên môn thuộc Uỷ ban nhân dân cấp huyện  triệu tập cuộc họp toàn ngành ở huyện để tổng kết thực hiện nhiệm vụ công tác năm, tổ chức cuộc họp tập huấn triển khai có mời Chủ tịch, Phó Chủ tịch Uỷ ban nhân dân cấp xã, thủ trưởng các cơ quan chuyên môn khác cùng cấp tham dự thì phải được sự đồng ý của Chủ tịch Uỷ ban nhân dân cấp huyện theo quy định.</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3. Khi tổ chức hội nghị, thủ trưởng các cơ quan, đơn vị phải nghiên cứu sắp xếp địa điểm hợp lý, tăng cường hình thức họp trực tuyến (online) nhất là đối với các hội nghị toàn quốc trên cơ sở đảm bảo phù hợp với yêu cầu riêng của từng cuộc họp; thực hiện lồng ghép các nội dung vấn đề, công việc cần xử lý; kết hợp các loại cuộc họp với nhau một cách hợp lý; chuẩn bị kỹ đầy đủ đúng yêu cầu nội dung cuộc họp, tuỳ theo tính chất, nội dung, mục đích, yêu cầu của cuộc họp, người triệu tập cuộc họp phải cân nhắc kỹ và quyết định thành phần, số lượng người tham dự cuộc họp cho phù hợp, bảo đảm tiết kiệm và hiệu quả.</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Cơ quan, đơn vị tổ chức hội nghị phải thực hiện theo đúng chế độ chi tiêu hội nghị quy định tại Thông tư này, không phô trương hình thức, không được tổ chức liên hoan, chiêu đãi, hạn chế thuê biểu diễn văn nghệ, không chi các hoạt động kết hợp tham quan, nghỉ mát, không chi quà tặng, quà lưu niệm. Kinh phí tổ chức hội nghị được bố trí sắp xếp trong phạm vi dự toán ngân sách hàng năm của cơ quan, đơn vị được cấp có thẩm quyền phê duyệt.</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 Cơ quan, đơn vị tổ chức hội nghị phải có trách nhiệm tạo điều kiện thuận lợi về chỗ ăn, chỗ nghỉ cho đại biểu dự họp.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Đối với đại biểu Hội đồng nhân dân các cấp và các đại biểu được Thường trực Hội đồng nhân dân các cấp mời tham dự kỳ họp, họp các Ban của Hội đồng nhân dân được thanh toán tiền công tác phí từ nguồn kinh phí hoạt động của Hội đồng nhân dân.</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4. Thời gian tổ chức các cuộc hội nghị được áp dụng theo quy định tại Quyết định số 114/2006/QĐ-TTg ngày 25 tháng 5 năm 2006 của Thủ tướng Chính phủ ban hành quy định chế độ họp trong hoạt động của các cơ quan hành chính nhà nước, cụ thể như sau:</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Họp tổng kết công tác năm không quá 1 ngày;</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Họp sơ kết, tổng kết chuyên đề từ 1 đến 2 ngày tuỳ theo tính chất và nội dung của chuyên đề;</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Họp tập huấn, triển khai nhiệm vụ công tác từ 1 đến 3 ngày tuỳ theo tính chất và nội dung của vấn đề;</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lastRenderedPageBreak/>
        <w:t>Các lớp tập huấn từ nguồn kinh phí đào tạo, bồi dưỡng cán bộ công chức nhà nước; từ nguồn kinh phí thuộc các chương trình, dự án, thì thời gian mở lớp tập huấn thực hiện theo chương trình tập huấn được cấp có thẩm quyền phê duyệt;</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Đối với các cuộc họp khác thì tuỳ theo tính chất và nội dung mà bố trí thời gian tiến hành hợp lý nhưng không quá 2 ngày;</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Thời gian các kỳ họp của Hội đồng nhân dân, họp các Ban của Hội đồng nhân dân không thực hiện theo quy định tại Thông tư này.</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b/>
          <w:szCs w:val="24"/>
          <w:lang w:val="en-US" w:eastAsia="vi-VN"/>
        </w:rPr>
        <w:t xml:space="preserve">Điều 4. </w:t>
      </w:r>
      <w:r w:rsidRPr="00445E70">
        <w:rPr>
          <w:rFonts w:eastAsia="Times New Roman" w:cs="Times New Roman"/>
          <w:szCs w:val="24"/>
          <w:lang w:val="en-US" w:eastAsia="vi-VN"/>
        </w:rPr>
        <w:t>Nội dung chi và mức chi tổ chức hội nghị</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1. Cơ quan, đơn vị tổ chức hội nghị được chi các nội dung sau:</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a) Tiền thuê hội trường trong những ngày tổ chức hội nghị (trong trường hợp cơ quan, đơn vị không có địa điểm phải thuê hoặc có nhưng không đáp ứng được số lượng đại biểu tham dự); thuê máy chiếu, trang thiết bị trực tiếp phục vụ hội nghị.</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b) Tiền tài liệu; bút, giấy (nếu có) cho đại biểu tham dự hội nghị; chi thuê giảng viên, bồi dưỡng báo cáo viên.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c) Tiền thuê phương tiện đưa đón đại biểu từ nơi nghỉ đến nơi tổ chức cuộc họp trong trường hợp cơ quan, đơn vị không có phương tiện hoặc có nhưng không đáp ứng được số lượng đại biểu.</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d) Tiền nước uống trong cuộc họp.</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đ) Chi hỗ trợ tiền ăn, thuê chỗ nghỉ, tiền phương tiện đi lại cho đại biểu là khách mời không hưởng lương từ ngân sách nhà nước.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Chi bù thêm phần chênh lệch (giữa mức chi thực tế do tổ chức ăn tập trung với mức đã thu tiền ăn từ tiền công tác phí) của các đại biểu hưởng lương từ ngân sách nhà nước, đại biểu thuộc các đơn vị sự nghiệp công lập (bao gồm đơn vị sự nghiệp tự bảo đảm chi phí hoạt động và đơn vị sự nghiệp tự bảo đảm một phần chi phí hoạt động) và đại biểu thuộc các doanh nghiệp.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e) Các khoản chi khác như: Tiền làm thêm giờ, tiền thuốc chữa bệnh thông thường, trang trí hội trường v.v...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Đối với các khoản chi về khen thưởng thi đua trong cuộc họp tổng kết hàng năm, chi cho công tác tuyên truyền không được tính trong kinh phí tổ chức hội nghị, mà phải tính vào khoản chi khen thưởng, chi tuyên truyền của cơ quan, đơn vị.</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2. Một số mức chi cụ thể: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a) Mức chi hỗ trợ tiền ăn cho đại biểu là khách mời không thuộc diện hưởng lương từ ngân sách nhà nước như sau: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Cuộc họp tổ chức tại địa điểm nội thành của thành phố trực thuộc Trung ương: Mức chi hỗ trợ tiền ăn tối đa không quá 150.000 đồng/ngày/người;</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Cuộc họp tổ chức tại địa điểm nội thành, nội thị của thành phố trực thuộc tỉnh; tại các huyện, thị xã thuộc tỉnh: Mức chi hỗ trợ tiền ăn tối đa không quá 100.000 đồng/ngày/người;</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Riêng cuộc họp do xã, phường, thị trấn tổ chức (không phân biệt địa điểm tổ chức): Mức chi hỗ trợ tiền ăn tối đa không quá 60.000 đồng/ngày/người.</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Mức chi hỗ trợ tiền ăn cho đại biểu là khách mời không thuộc diện hưởng lương từ ngân sách nhà nước nêu trên là căn cứ để thực hiện hỗ trợ theo hình thức khoán bằng tiền cho đại biểu là khách mời không thuộc diện hưởng lương từ ngân sách nhà nước. Trong trường hợp </w:t>
      </w:r>
      <w:r w:rsidRPr="00445E70">
        <w:rPr>
          <w:rFonts w:eastAsia="Times New Roman" w:cs="Times New Roman"/>
          <w:szCs w:val="24"/>
          <w:lang w:val="en-US" w:eastAsia="vi-VN"/>
        </w:rPr>
        <w:lastRenderedPageBreak/>
        <w:t>nếu phải tổ chức nấu ăn tập trung, mức khoán nêu trên không đủ chi phí, thì Thủ trưởng cơ quan, đơn vị chủ trì tổ chức hội nghị căn cứ tính chất từng cuộc họp và trong phạm vi nguồn ngân sách được giao quyết định mức chi hỗ trợ tiền ăn cho đại biểu là khách mời không thuộc diện hưởng lương từ ngân sách nhà nước cao hơn mức khoán bằng tiền, nhưng tối đa không vượt quá 130% mức khoán bằng tiền nêu trên; đồng thời thực hiện thu tiền ăn từ tiền công tác phí của các đại biểu hưởng lương từ ngân sách nhà nước theo mức tối đa bằng mức phụ cấp lưu trú quy định tại quy chế chi tiêu nội bộ của cơ quan, đơn vị chủ trì hội nghị và được phép chi bù thêm phần chênh lệch (giữa mức chi thực tế do tổ chức ăn tập trung với mức đã thu tiền ăn từ tiền công tác phí của các đại biểu hưởng lương từ ngân sách nhà nước, đại biểu thuộc các đơn vị sự nghiệp công lập và đại biểu từ các doanh nghiệp).</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b) Chi hỗ trợ tiền nghỉ cho đại biểu là khách mời không hưởng lương từ ngân sách nhà nước theo mức thanh toán khoán hoặc theo hoá đơn thực tế quy định về chế độ thanh toán tiền công tác phí nêu tại khoản 4 Điều 2 Thông tư này.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c) Chi bồi dưỡng giảng viên, báo cáo viên đối với các cuộc họp tập huấn nghiệp vụ, các lớp phổ biến, quán triệt triển khai cơ chế, chính sách của Đảng và Nhà nước; chi bồi dưỡng báo cáo tham luận trình bày tại hội nghị theo mức chi quy định hiện hành của Bộ Tài chính hướng dẫn việc quản lý và sử dụng kinh phí đào tạo, bồi dưỡng cán bộ, công chức Nhà nước.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d) Chi tiền nước uống trong cuộc họp: Tối đa không quá mức 30.000 đồng/ngày(2 buổi)/đại biểu.</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đ) Chi hỗ trợ tiền phương tiện đi lại cho đại biểu là khách mời không hưởng lương theo quy định về thanh toán chế độ công tác phí quy định tại Thông tư này.</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e) Các khoản chi phí thuê mướn khác phục vụ hội nghị như: Thuê hội trường, in sao tài liệu, thuê xe, thuê giảng viên ... phải có hợp đồng, giấy biên nhận hoặc hóa đơn (trong trường hợp thuê dịch vụ).</w:t>
      </w:r>
    </w:p>
    <w:p w:rsidR="00445E70" w:rsidRPr="00445E70" w:rsidRDefault="00445E70" w:rsidP="00445E70">
      <w:pPr>
        <w:spacing w:after="0" w:line="240" w:lineRule="auto"/>
        <w:jc w:val="center"/>
        <w:rPr>
          <w:rFonts w:eastAsia="Times New Roman" w:cs="Times New Roman"/>
          <w:b/>
          <w:szCs w:val="24"/>
          <w:lang w:val="en-US" w:eastAsia="vi-VN"/>
        </w:rPr>
      </w:pPr>
    </w:p>
    <w:p w:rsidR="00445E70" w:rsidRPr="00445E70" w:rsidRDefault="00445E70" w:rsidP="00445E70">
      <w:pPr>
        <w:spacing w:after="0" w:line="240" w:lineRule="auto"/>
        <w:jc w:val="center"/>
        <w:rPr>
          <w:rFonts w:eastAsia="Times New Roman" w:cs="Times New Roman"/>
          <w:b/>
          <w:szCs w:val="24"/>
          <w:lang w:val="en-US" w:eastAsia="vi-VN"/>
        </w:rPr>
      </w:pPr>
      <w:r w:rsidRPr="00445E70">
        <w:rPr>
          <w:rFonts w:eastAsia="Times New Roman" w:cs="Times New Roman"/>
          <w:b/>
          <w:szCs w:val="24"/>
          <w:lang w:val="en-US" w:eastAsia="vi-VN"/>
        </w:rPr>
        <w:t>PHẦN III</w:t>
      </w:r>
    </w:p>
    <w:p w:rsidR="00445E70" w:rsidRPr="00445E70" w:rsidRDefault="00445E70" w:rsidP="00445E70">
      <w:pPr>
        <w:spacing w:after="0" w:line="240" w:lineRule="auto"/>
        <w:jc w:val="center"/>
        <w:rPr>
          <w:rFonts w:eastAsia="Times New Roman" w:cs="Times New Roman"/>
          <w:b/>
          <w:szCs w:val="24"/>
          <w:lang w:val="en-US" w:eastAsia="vi-VN"/>
        </w:rPr>
      </w:pPr>
      <w:r w:rsidRPr="00445E70">
        <w:rPr>
          <w:rFonts w:eastAsia="Times New Roman" w:cs="Times New Roman"/>
          <w:b/>
          <w:szCs w:val="24"/>
          <w:lang w:val="en-US" w:eastAsia="vi-VN"/>
        </w:rPr>
        <w:t>TỔ CHỨC THỰC HIỆN</w:t>
      </w:r>
    </w:p>
    <w:p w:rsidR="00445E70" w:rsidRPr="00445E70" w:rsidRDefault="00445E70" w:rsidP="00445E70">
      <w:pPr>
        <w:spacing w:after="0" w:line="240" w:lineRule="auto"/>
        <w:jc w:val="center"/>
        <w:rPr>
          <w:rFonts w:eastAsia="Times New Roman" w:cs="Times New Roman"/>
          <w:b/>
          <w:szCs w:val="24"/>
          <w:lang w:val="en-US" w:eastAsia="vi-VN"/>
        </w:rPr>
      </w:pP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b/>
          <w:szCs w:val="24"/>
          <w:lang w:val="en-US" w:eastAsia="vi-VN"/>
        </w:rPr>
        <w:t>Điều 5.</w:t>
      </w:r>
      <w:r w:rsidRPr="00445E70">
        <w:rPr>
          <w:rFonts w:eastAsia="Times New Roman" w:cs="Times New Roman"/>
          <w:szCs w:val="24"/>
          <w:lang w:val="en-US" w:eastAsia="vi-VN"/>
        </w:rPr>
        <w:t xml:space="preserve"> Quy định trách nhiệm tổ chức thực hiện</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1. Kinh phí thực hiện chế độ công tác phí, chế độ chi tiêu hội nghị phải được quản lý, sử dụng theo đúng định mức, tiêu chuẩn, chế độ do cơ quan nhà nước có thẩm quyền ban hành và trong phạm vi dự toán chi ngân sách hàng năm được cấp có thẩm quyền giao.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2. Căn cứ khả năng ngân sách và giá cả thực tế: Bộ trưởng, Thủ trưởng cơ quan ngang Bộ, cơ quan thuộc Chính phủ quy định các mức chi cụ thể về công tác phí, chi hội nghị đối với các cơ quan, đơn vị trực thuộc; UBND tỉnh, thành phố trực thuộc Trung ương trình Hội đồng nhân dân tỉnh quy định mức chi cụ thể về công tác phí, chi hội nghị đối với các cơ quan, đơn vị thuộc địa phương cho phù hợp nhưng không vượt quá 20% mức chi tối đa quy định tại Thông tư này và phải tự sắp xếp trong phạm vi nguồn kinh phí thường xuyên được giao dự toán đầu năm để thực hiện.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Trường hợp các Bộ, ngành, địa phương chưa ban hành văn bản quy định mức chi cụ thể, thì Thủ trưởng cơ quan, đơn vị căn cứ mức chi tối đa quy định tại Thông tư này quyết định mức chi thực tế (có hoá đơn hợp pháp, hợp lệ) nhưng không vượt quá mức chi tối đa quy định tại Thông tư này, đảm bảo tiết kiệm, tránh lãng phí, trong phạm vi dự toán ngân sách được cấp có thẩm quyền giao và phải được thể hiện trong quy chế chi tiêu nội bộ của cơ quan, đơn vị.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3. Trong trường hợp đặc biệt cần phải có mức chi công tác phí, mức chi hội nghị cao hơn mức chi quy định tại Thông tư này, Thủ trưởng cơ quan, đơn vị xem xét quyết định từng </w:t>
      </w:r>
      <w:r w:rsidRPr="00445E70">
        <w:rPr>
          <w:rFonts w:eastAsia="Times New Roman" w:cs="Times New Roman"/>
          <w:szCs w:val="24"/>
          <w:lang w:val="en-US" w:eastAsia="vi-VN"/>
        </w:rPr>
        <w:lastRenderedPageBreak/>
        <w:t xml:space="preserve">trường hợp cụ thể, chịu trách nhiệm về quyết định của mình và cuối năm có trách nhiệm công khai với toàn thể cán bộ, công chức trong cơ quan, đơn vị về những trường hợp đã quyết định chi công tác phí, chi hội nghị cao hơn mức chi quy định tại Thông tư này; đồng thời phải sử dụng nguồn kinh phí thường xuyên được giao dự toán đầu năm để thực hiện. </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4. Hội đồng nhân dân cấp tỉnh căn cứ quy định tại Nghị quyết 773/2009/NQ-UBTVQH12 ngày 31 tháng 3 năm 2009 của Uỷ ban Thường vụ Quốc hội quy định về một số chế độ chi tiêu tài chính phục vụ hoạt động của Quốc hội, các cơ quan của Quốc hội, Văn phòng Quốc hội, các cơ quan trực thuộc Uỷ ban Thường vụ Quốc hội, các đoàn đại biểu Quốc hội và đại biểu Quốc hội, để ban hành Nghị quyết áp dụng cho Hội đồng nhân dân các cấp cho phù hợp với tình hình cụ thể của địa phương, bảo đảm hoạt động của Hội đồng nhân dân các cấp thiết thực, hiệu quả đối với những nhiệm vụ chi có liên quan.</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5. Bộ Công an, Bộ Quốc phòng có trách nhiệm hướng dẫn thực hiện chế độ công tác phí, chế độ chi tổ chức hội nghị đối với các cơ quan, đơn vị trực thuộc cho phù hợp tính chất đặc thù của từng lực lượng.</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6. Đối với các đơn vị sự nghiệp công lập tự bảo đảm chi phí hoạt động, đơn vị tự bảo đảm một phần chi phí hoạt động theo quy định tại Nghị định số 43/2006/NĐ-CP ngày 25 tháng 4 năm 2006 của Chính phủ quy định quyền tự chủ, tự chịu trách nhiệm về thực hiện nhiệm vụ, tổ chức bộ máy, biên chế và tài chính đối với đơn vị sự nghiệp công lập; các tổ chức khoa học và công nghệ công lập đã thực hiện cơ chế tự chủ, tự chịu trách nhiệm theo quy định tại Nghị định số 115/2005/NĐ-CP ngày 05 tháng 9 năm 2005 của Chính phủ, được quyết định mức chi công tác phí, chi tổ chức hội nghị cao hơn hoặc thấp hơn mức chi do Bộ trưởng, Thủ trưởng cơ quan ngang Bộ, cơ quan thuộc Chính phủ và Uỷ ban nhân dân tỉnh, thành phố trực thuộc Trung ương quy định cụ thể hoá mức chi theo quy định tại Thông tư này và phải được quy định trong quy chế chi tiêu nội bộ của đơn vị đảm bảo tiết kiệm, hiệu quả và phù hợp với khả năng ngân sách, đặc điểm hoạt động của đơn vị. Đối với những khoản kinh phí chi không thường xuyên (kinh phí không giao khoán) thì thực hiện chế độ công tác phí, chế độ chi hội nghị theo mức chi quy định cụ thể của Bộ, ngành, địa phương về cụ thể hóa mức chi quy định tại Thông tư này.</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Đối với các hội nghị được tổ chức bằng nguồn kinh phí do các tổ chức, cá nhân tham gia đóng góp, tài trợ, thì khuyến khích vận dụng thực hiện chế độ chi tiêu hội nghị quy định tại Thông tư này nhằm đảm bảo tiết kiệm, hiệu quả và phù hợp khả năng ngân sách của đơn vị.</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Các doanh nghiệp nhà nước được vận dụng chế độ công tác phí, chế độ chi tiêu hội nghị quy định tại Thông tư này để thực hiện đảm bảo tiết kiệm, hiệu quả và phù hợp với đặc điểm sản xuất kinh doanh của đơn vị. Trường hợp doanh nghiệp nhà nước được ngân sách nhà nước bố trí kinh phí thực hiện theo chương trình, đề án, dự án cụ thể, nếu có phát sinh nhiệm vụ chi công tác phí, hội nghị phí thì phải thực hiện theo đúng mức chi được cấp có thẩm quyền giao thực hiện chương trình, đề án, dự án phê duyệt.</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7. Những khoản chi công tác phí, chi hội nghị không đúng quy định tại Thông tư này khi kiểm tra phát hiện cơ quan quản lý cấp trên, cơ quan tài chính các cấp, cơ quan thanh tra, cơ quan Kiểm toán Nhà nước có quyền xuất toán và yêu cầu cơ quan, đơn vị có trách nhiệm thu hồi nộp cho công quỹ. Người ra lệnh chi sai phải bồi hoàn toàn bộ số tiền chi sai đó cho cơ quan, đơn vị, tuỳ theo mức độ vi phạm sẽ bị xử lý theo quy định của pháp luật hiện hành.</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b/>
          <w:szCs w:val="24"/>
          <w:lang w:val="en-US" w:eastAsia="vi-VN"/>
        </w:rPr>
        <w:t xml:space="preserve">Điều 6. </w:t>
      </w:r>
      <w:r w:rsidRPr="00445E70">
        <w:rPr>
          <w:rFonts w:eastAsia="Times New Roman" w:cs="Times New Roman"/>
          <w:szCs w:val="24"/>
          <w:lang w:val="en-US" w:eastAsia="vi-VN"/>
        </w:rPr>
        <w:t>Tổ chức thực hiện</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1. Thông tư này có hiệu lực thi hành sau 45 ngày kể từ ngày ký, thay thế Thông tư số 23/2007/TT-BTC ngày 21 tháng 3 năm 2007 của Bộ Tài chính quy định chế độ công tác phí, chế độ chi tổ chức các cuộc hội nghị trong các cơ quan nhà nước, đơn vị sự nghiệp công lập; thay thế mục I Thông tư số 127/2007/TT-BTC ngày 31 tháng 10 năm 2007 của Bộ Tài chính </w:t>
      </w:r>
      <w:r w:rsidRPr="00445E70">
        <w:rPr>
          <w:rFonts w:eastAsia="Times New Roman" w:cs="Times New Roman"/>
          <w:szCs w:val="24"/>
          <w:lang w:val="en-US" w:eastAsia="vi-VN"/>
        </w:rPr>
        <w:lastRenderedPageBreak/>
        <w:t>sửa đổi, bổ sung Thông tư số 23/2007/TT-BTC ngày 21 tháng 3 năm 2007 và Thông tư số 57/2007/TT-BTC ngày 11 tháng 6 năm 2007 của Bộ Tài chính; thay thế Điều 1 Thông tư số 142/2009/TT-BTC ngày 14 tháng 7 năm 2009 của Bộ Tài chính sửa đổi, bổ sung Thông tư số 23/2007/TT-BTC ngày 21 tháng 3 năm 2007 của Bộ Tài chính quy định chế độ công tác phí, chế độ chi tổ chức các cuộc hội nghị đối với cơ quan nhà nước và đơn vị sự nghiệp công lập và sửa đổi, bổ sung Thông tư số 91/2005/TT-BTC ngày 18 tháng 10 năm 2005 của Bộ Tài chính quy định chế độ công tác phí cho cán bộ, công chức nhà nước đi công tác ngắn hạn ở nước ngoài do ngân sách nhà nước bảo đảm kinh phí.</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Riêng năm 2010 các cơ quan, đơn vị sắp xếp trong phạm vi dự toán ngân sách đã được giao và nguồn kinh phí hợp pháp khác để thực hiện chế độ công tác phí, chế độ chi tổ chức các cuộc hội nghị theo quy định tại Thông tư này.</w:t>
      </w:r>
    </w:p>
    <w:p w:rsidR="00445E70" w:rsidRPr="00445E70" w:rsidRDefault="00445E70" w:rsidP="00445E70">
      <w:pPr>
        <w:spacing w:after="120" w:line="240" w:lineRule="auto"/>
        <w:ind w:firstLine="720"/>
        <w:jc w:val="both"/>
        <w:rPr>
          <w:rFonts w:eastAsia="Times New Roman" w:cs="Times New Roman"/>
          <w:szCs w:val="24"/>
          <w:lang w:val="en-US" w:eastAsia="vi-VN"/>
        </w:rPr>
      </w:pPr>
      <w:r w:rsidRPr="00445E70">
        <w:rPr>
          <w:rFonts w:eastAsia="Times New Roman" w:cs="Times New Roman"/>
          <w:szCs w:val="24"/>
          <w:lang w:val="en-US" w:eastAsia="vi-VN"/>
        </w:rPr>
        <w:t xml:space="preserve">2. Trong quá trình thực hiện nếu có vướng mắc đề nghị các đơn vị phản ánh về Bộ Tài chính để hướng dẫn thực hiện./.  </w:t>
      </w:r>
    </w:p>
    <w:p w:rsidR="00445E70" w:rsidRPr="00445E70" w:rsidRDefault="00445E70" w:rsidP="00445E70">
      <w:pPr>
        <w:spacing w:after="0" w:line="240" w:lineRule="auto"/>
        <w:rPr>
          <w:rFonts w:eastAsia="Times New Roman" w:cs="Times New Roman"/>
          <w:szCs w:val="24"/>
          <w:lang w:val="en-US" w:eastAsia="vi-VN"/>
        </w:rPr>
      </w:pPr>
    </w:p>
    <w:tbl>
      <w:tblPr>
        <w:tblW w:w="9000" w:type="dxa"/>
        <w:tblInd w:w="108" w:type="dxa"/>
        <w:tblLook w:val="01E0" w:firstRow="1" w:lastRow="1" w:firstColumn="1" w:lastColumn="1" w:noHBand="0" w:noVBand="0"/>
      </w:tblPr>
      <w:tblGrid>
        <w:gridCol w:w="5400"/>
        <w:gridCol w:w="3600"/>
      </w:tblGrid>
      <w:tr w:rsidR="00445E70" w:rsidRPr="00445E70" w:rsidTr="00445E70">
        <w:tc>
          <w:tcPr>
            <w:tcW w:w="5400" w:type="dxa"/>
            <w:hideMark/>
          </w:tcPr>
          <w:p w:rsidR="00445E70" w:rsidRPr="00445E70" w:rsidRDefault="00445E70" w:rsidP="00445E70">
            <w:pPr>
              <w:spacing w:after="0" w:line="240" w:lineRule="auto"/>
              <w:rPr>
                <w:rFonts w:eastAsia="Times New Roman" w:cs="Times New Roman"/>
                <w:b/>
                <w:i/>
                <w:szCs w:val="24"/>
                <w:lang w:eastAsia="vi-VN"/>
              </w:rPr>
            </w:pPr>
            <w:r w:rsidRPr="00445E70">
              <w:rPr>
                <w:rFonts w:eastAsia="Times New Roman" w:cs="Times New Roman"/>
                <w:b/>
                <w:i/>
                <w:szCs w:val="24"/>
                <w:lang w:eastAsia="vi-VN"/>
              </w:rPr>
              <w:t xml:space="preserve">Nơi nhận: </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Thủ tướng Chính phủ (để báo cáo);</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VP Quốc hội, VP Chủ tịch nước;</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VP Chính phủ;</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VP TW Đảng và các ban của Đảng;</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Toà án NDTC, Viện Kiểm sát NDTC;</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Kiểm toán NN, VP Ban Chỉ đạo TW về PC tham nhũng;</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Các Bộ, cơ quan ngang Bộ, cơ quan thuộc CP;</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Cơ quan TW của các Hội, đoàn thể;</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UBND, HĐND các tỉnh, TP trực thuộc TW;</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Sở TC, KBNN các tỉnh TP trực thuộc TW;</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Cục Kiểm tra văn bản - Bộ Tư pháp;</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Công báo;</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Website Chính phủ, Website Bộ Tài chính;</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Các đơn vị thuộc Bộ;</w:t>
            </w:r>
          </w:p>
          <w:p w:rsidR="00445E70" w:rsidRPr="00445E70" w:rsidRDefault="00445E70" w:rsidP="00445E70">
            <w:pPr>
              <w:spacing w:after="0" w:line="240" w:lineRule="auto"/>
              <w:rPr>
                <w:rFonts w:eastAsia="Times New Roman" w:cs="Times New Roman"/>
                <w:szCs w:val="24"/>
                <w:lang w:eastAsia="vi-VN"/>
              </w:rPr>
            </w:pPr>
            <w:r w:rsidRPr="00445E70">
              <w:rPr>
                <w:rFonts w:eastAsia="Times New Roman" w:cs="Times New Roman"/>
                <w:szCs w:val="24"/>
                <w:lang w:eastAsia="vi-VN"/>
              </w:rPr>
              <w:t>- Lưu: VT, Vụ HCSN.</w:t>
            </w:r>
          </w:p>
        </w:tc>
        <w:tc>
          <w:tcPr>
            <w:tcW w:w="3600" w:type="dxa"/>
          </w:tcPr>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KT. BỘ TRƯỞNG</w:t>
            </w:r>
          </w:p>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THỨ TRƯỞNG</w:t>
            </w:r>
          </w:p>
          <w:p w:rsidR="00445E70" w:rsidRPr="00445E70" w:rsidRDefault="00445E70" w:rsidP="00445E70">
            <w:pPr>
              <w:spacing w:after="0" w:line="240" w:lineRule="auto"/>
              <w:jc w:val="center"/>
              <w:rPr>
                <w:rFonts w:eastAsia="Times New Roman" w:cs="Times New Roman"/>
                <w:i/>
                <w:szCs w:val="24"/>
                <w:lang w:eastAsia="vi-VN"/>
              </w:rPr>
            </w:pPr>
            <w:r w:rsidRPr="00445E70">
              <w:rPr>
                <w:rFonts w:eastAsia="Times New Roman" w:cs="Times New Roman"/>
                <w:i/>
                <w:szCs w:val="24"/>
                <w:lang w:eastAsia="vi-VN"/>
              </w:rPr>
              <w:t>(Đã ký)</w:t>
            </w:r>
          </w:p>
          <w:p w:rsidR="00445E70" w:rsidRPr="00445E70" w:rsidRDefault="00445E70" w:rsidP="00445E70">
            <w:pPr>
              <w:spacing w:after="0" w:line="240" w:lineRule="auto"/>
              <w:jc w:val="center"/>
              <w:rPr>
                <w:rFonts w:eastAsia="Times New Roman" w:cs="Times New Roman"/>
                <w:b/>
                <w:szCs w:val="24"/>
                <w:lang w:eastAsia="vi-VN"/>
              </w:rPr>
            </w:pPr>
          </w:p>
          <w:p w:rsidR="00445E70" w:rsidRPr="00445E70" w:rsidRDefault="00445E70" w:rsidP="00445E70">
            <w:pPr>
              <w:spacing w:after="0" w:line="240" w:lineRule="auto"/>
              <w:jc w:val="center"/>
              <w:rPr>
                <w:rFonts w:eastAsia="Times New Roman" w:cs="Times New Roman"/>
                <w:b/>
                <w:szCs w:val="24"/>
                <w:lang w:eastAsia="vi-VN"/>
              </w:rPr>
            </w:pPr>
          </w:p>
          <w:p w:rsidR="00445E70" w:rsidRPr="00445E70" w:rsidRDefault="00445E70" w:rsidP="00445E70">
            <w:pPr>
              <w:spacing w:after="0" w:line="240" w:lineRule="auto"/>
              <w:jc w:val="center"/>
              <w:rPr>
                <w:rFonts w:eastAsia="Times New Roman" w:cs="Times New Roman"/>
                <w:b/>
                <w:szCs w:val="24"/>
                <w:lang w:eastAsia="vi-VN"/>
              </w:rPr>
            </w:pPr>
          </w:p>
          <w:p w:rsidR="00445E70" w:rsidRPr="00445E70" w:rsidRDefault="00445E70" w:rsidP="00445E70">
            <w:pPr>
              <w:spacing w:after="0" w:line="240" w:lineRule="auto"/>
              <w:jc w:val="center"/>
              <w:rPr>
                <w:rFonts w:eastAsia="Times New Roman" w:cs="Times New Roman"/>
                <w:b/>
                <w:szCs w:val="24"/>
                <w:lang w:eastAsia="vi-VN"/>
              </w:rPr>
            </w:pPr>
            <w:r w:rsidRPr="00445E70">
              <w:rPr>
                <w:rFonts w:eastAsia="Times New Roman" w:cs="Times New Roman"/>
                <w:b/>
                <w:szCs w:val="24"/>
                <w:lang w:eastAsia="vi-VN"/>
              </w:rPr>
              <w:t>Phạm Sỹ Danh</w:t>
            </w:r>
          </w:p>
        </w:tc>
      </w:tr>
    </w:tbl>
    <w:p w:rsidR="00445E70" w:rsidRPr="00445E70" w:rsidRDefault="00445E70" w:rsidP="00445E70">
      <w:pPr>
        <w:spacing w:after="0" w:line="240" w:lineRule="auto"/>
        <w:rPr>
          <w:rFonts w:eastAsia="Times New Roman" w:cs="Times New Roman"/>
          <w:szCs w:val="24"/>
          <w:lang w:val="en-US" w:eastAsia="vi-VN"/>
        </w:rPr>
      </w:pPr>
    </w:p>
    <w:p w:rsidR="00445E70" w:rsidRPr="00445E70" w:rsidRDefault="00445E70" w:rsidP="00445E70">
      <w:pPr>
        <w:spacing w:after="0" w:line="240" w:lineRule="auto"/>
        <w:rPr>
          <w:rFonts w:eastAsia="Times New Roman" w:cs="Times New Roman"/>
          <w:szCs w:val="24"/>
          <w:lang w:val="en-US" w:eastAsia="vi-VN"/>
        </w:rPr>
      </w:pPr>
    </w:p>
    <w:p w:rsidR="00F1132A" w:rsidRPr="00445E70" w:rsidRDefault="00F1132A" w:rsidP="00445E70">
      <w:bookmarkStart w:id="0" w:name="_GoBack"/>
      <w:bookmarkEnd w:id="0"/>
    </w:p>
    <w:sectPr w:rsidR="00F1132A" w:rsidRPr="00445E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5B2" w:rsidRDefault="00DD55B2" w:rsidP="00AA7479">
      <w:pPr>
        <w:spacing w:after="0" w:line="240" w:lineRule="auto"/>
      </w:pPr>
      <w:r>
        <w:separator/>
      </w:r>
    </w:p>
  </w:endnote>
  <w:endnote w:type="continuationSeparator" w:id="0">
    <w:p w:rsidR="00DD55B2" w:rsidRDefault="00DD55B2"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5B2" w:rsidRDefault="00DD55B2" w:rsidP="00AA7479">
      <w:pPr>
        <w:spacing w:after="0" w:line="240" w:lineRule="auto"/>
      </w:pPr>
      <w:r>
        <w:separator/>
      </w:r>
    </w:p>
  </w:footnote>
  <w:footnote w:type="continuationSeparator" w:id="0">
    <w:p w:rsidR="00DD55B2" w:rsidRDefault="00DD55B2"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9678A"/>
    <w:rsid w:val="003D4307"/>
    <w:rsid w:val="00445E70"/>
    <w:rsid w:val="00465DCF"/>
    <w:rsid w:val="00474EAD"/>
    <w:rsid w:val="005078AB"/>
    <w:rsid w:val="00510DCA"/>
    <w:rsid w:val="00647366"/>
    <w:rsid w:val="006D63F0"/>
    <w:rsid w:val="00704214"/>
    <w:rsid w:val="007263AA"/>
    <w:rsid w:val="007B5AEB"/>
    <w:rsid w:val="00834508"/>
    <w:rsid w:val="008F78FE"/>
    <w:rsid w:val="00907781"/>
    <w:rsid w:val="00974D10"/>
    <w:rsid w:val="00AA10F2"/>
    <w:rsid w:val="00AA7479"/>
    <w:rsid w:val="00B9405F"/>
    <w:rsid w:val="00B94B5C"/>
    <w:rsid w:val="00B95C7C"/>
    <w:rsid w:val="00BD2FB4"/>
    <w:rsid w:val="00BD470C"/>
    <w:rsid w:val="00C106ED"/>
    <w:rsid w:val="00CF4C9A"/>
    <w:rsid w:val="00D07B78"/>
    <w:rsid w:val="00D93735"/>
    <w:rsid w:val="00DD55B2"/>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01730574">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445928597">
      <w:bodyDiv w:val="1"/>
      <w:marLeft w:val="0"/>
      <w:marRight w:val="0"/>
      <w:marTop w:val="0"/>
      <w:marBottom w:val="0"/>
      <w:divBdr>
        <w:top w:val="none" w:sz="0" w:space="0" w:color="auto"/>
        <w:left w:val="none" w:sz="0" w:space="0" w:color="auto"/>
        <w:bottom w:val="none" w:sz="0" w:space="0" w:color="auto"/>
        <w:right w:val="none" w:sz="0" w:space="0" w:color="auto"/>
      </w:divBdr>
    </w:div>
    <w:div w:id="461121949">
      <w:bodyDiv w:val="1"/>
      <w:marLeft w:val="0"/>
      <w:marRight w:val="0"/>
      <w:marTop w:val="0"/>
      <w:marBottom w:val="0"/>
      <w:divBdr>
        <w:top w:val="none" w:sz="0" w:space="0" w:color="auto"/>
        <w:left w:val="none" w:sz="0" w:space="0" w:color="auto"/>
        <w:bottom w:val="none" w:sz="0" w:space="0" w:color="auto"/>
        <w:right w:val="none" w:sz="0" w:space="0" w:color="auto"/>
      </w:divBdr>
      <w:divsChild>
        <w:div w:id="1211188720">
          <w:marLeft w:val="0"/>
          <w:marRight w:val="0"/>
          <w:marTop w:val="0"/>
          <w:marBottom w:val="0"/>
          <w:divBdr>
            <w:top w:val="none" w:sz="0" w:space="0" w:color="auto"/>
            <w:left w:val="none" w:sz="0" w:space="0" w:color="auto"/>
            <w:bottom w:val="none" w:sz="0" w:space="0" w:color="auto"/>
            <w:right w:val="none" w:sz="0" w:space="0" w:color="auto"/>
          </w:divBdr>
        </w:div>
      </w:divsChild>
    </w:div>
    <w:div w:id="463697511">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04127379">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355963950">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2017-11-19T03:11:00Z</dcterms:created>
  <dcterms:modified xsi:type="dcterms:W3CDTF">2017-11-19T03:11:00Z</dcterms:modified>
</cp:coreProperties>
</file>